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17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1.202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государственную программу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17</w:t>
      </w:r>
      <w:r>
        <w:rPr>
          <w:rFonts w:ascii="PT Astra Serif" w:hAnsi="PT Astra Serif"/>
          <w:sz w:val="26"/>
          <w:szCs w:val="26"/>
          <w:lang w:val="ru-RU"/>
        </w:rPr>
        <w:t xml:space="preserve"> я</w:t>
      </w:r>
      <w:r>
        <w:rPr>
          <w:rFonts w:ascii="PT Astra Serif" w:hAnsi="PT Astra Serif"/>
          <w:sz w:val="26"/>
          <w:szCs w:val="26"/>
          <w:lang w:val="ru-RU"/>
        </w:rPr>
        <w:t>нвар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ascii="PT Astra Serif" w:hAnsi="PT Astra Serif"/>
          <w:bCs/>
          <w:sz w:val="26"/>
          <w:szCs w:val="26"/>
        </w:rPr>
        <w:t xml:space="preserve">  в целях внесения</w:t>
      </w:r>
      <w:r>
        <w:rPr>
          <w:rFonts w:eastAsia="MS Mincho;ＭＳ 明朝" w:ascii="PT Astra Serif" w:hAnsi="PT Astra Serif"/>
          <w:bCs/>
          <w:sz w:val="26"/>
          <w:szCs w:val="26"/>
          <w:lang w:eastAsia="zh-CN"/>
        </w:rPr>
        <w:t xml:space="preserve"> изменений в распределение </w:t>
      </w:r>
      <w:bookmarkStart w:id="2" w:name="__DdeLink__3274_3213466512"/>
      <w:r>
        <w:rPr>
          <w:rFonts w:eastAsia="MS Mincho;ＭＳ 明朝" w:ascii="PT Astra Serif" w:hAnsi="PT Astra Serif"/>
          <w:bCs/>
          <w:sz w:val="26"/>
          <w:szCs w:val="26"/>
          <w:lang w:eastAsia="zh-CN"/>
        </w:rPr>
        <w:t>бюджетных ассигнований областного бюджета Ульяновской области и дополнительных поступлений в областной бюджет Ульяновской области на финансовое обеспечение реализации указанной государственной программы на 2022 – 2024 год</w:t>
      </w:r>
      <w:bookmarkEnd w:id="2"/>
      <w:r>
        <w:rPr>
          <w:rFonts w:eastAsia="MS Mincho;ＭＳ 明朝" w:ascii="PT Astra Serif" w:hAnsi="PT Astra Serif"/>
          <w:bCs/>
          <w:sz w:val="26"/>
          <w:szCs w:val="26"/>
          <w:lang w:eastAsia="zh-CN"/>
        </w:rPr>
        <w:t>ы</w:t>
      </w:r>
      <w:r>
        <w:rPr>
          <w:rFonts w:ascii="PT Astra Serif" w:hAnsi="PT Astra Serif"/>
          <w:bCs/>
          <w:sz w:val="26"/>
          <w:szCs w:val="26"/>
        </w:rPr>
        <w:t>.</w:t>
        <w:br/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 xml:space="preserve">В соответствии с проектом за счёт </w:t>
      </w: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>дополнительных поступлений в областной бюджет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 xml:space="preserve"> в 2022 - 2024 годы увеличивается финансирование указанной государственной программы на общую сумму </w:t>
      </w: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 xml:space="preserve">1 865 489,36247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>тыс. рублей.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  <w:lang w:eastAsia="zh-CN"/>
        </w:rPr>
        <w:t>Также проект постановления предусматривает: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  <w:lang w:eastAsia="zh-CN"/>
        </w:rPr>
        <w:t>1) корректировку наименования подпрограммы «Развитие мелиорации земель сельскохозяйственного назначения», а также в рамках указанной подпрограммы дополнение государственной программы двумя новыми целями;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  <w:lang w:eastAsia="zh-CN"/>
        </w:rPr>
        <w:t>2) корректировку наименований и значений двадцати пяти целевых индикаторов, а также дополнение государственной программы шестью новыми целевыми индикаторами в связи с заключением новых соглашений</w:t>
        <w:br/>
        <w:t>с Министерством сельского хозяйства Российской Федерации и Федеральным дорожным агентством.</w:t>
      </w:r>
    </w:p>
    <w:p>
      <w:pPr>
        <w:pStyle w:val="Normal"/>
        <w:widowControl/>
        <w:shd w:val="clear" w:color="auto" w:fill="FFFFFF"/>
        <w:suppressAutoHyphens w:val="true"/>
        <w:overflowPunct w:val="false"/>
        <w:ind w:firstLine="709"/>
        <w:jc w:val="both"/>
        <w:rPr>
          <w:bCs w:val="false"/>
          <w:sz w:val="26"/>
          <w:szCs w:val="26"/>
        </w:rPr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Вместе с тем, указанным проектом постановления вносится изменения юридико-технического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Application>LibreOffice/6.4.7.2$Linux_X86_64 LibreOffice_project/40$Build-2</Application>
  <Pages>1</Pages>
  <Words>306</Words>
  <Characters>2483</Characters>
  <CharactersWithSpaces>2827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2022-01-21T14:40:25Z</cp:lastPrinted>
  <dcterms:modified xsi:type="dcterms:W3CDTF">2022-01-21T14:41:36Z</dcterms:modified>
  <cp:revision>68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